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278</w:t>
      </w:r>
    </w:p>
    <w:p>
      <w:r>
        <w:t>Bundesgericht (BGE), 1967-05-31, DE</w:t>
      </w:r>
    </w:p>
    <w:p>
      <w:r>
        <w:rPr>
          <w:b/>
        </w:rPr>
        <w:t xml:space="preserve">Quelle: </w:t>
      </w:r>
      <w:r>
        <w:t>https://mcp.opencaselaw.ch/entscheid/bge_93 I 278</w:t>
      </w:r>
    </w:p>
    <w:p>
      <w:r>
        <w:t>FR: ATF 93 I 278</w:t>
      </w:r>
    </w:p>
    <w:p>
      <w:r>
        <w:t>IT: DTF 93 I 278</w:t>
      </w:r>
    </w:p>
    <w:p>
      <w:pPr>
        <w:pStyle w:val="Heading2"/>
      </w:pPr>
      <w:r>
        <w:t>Regeste</w:t>
      </w:r>
    </w:p>
    <w:p>
      <w:r>
        <w:t>Regeste Arrestkaution (Art. 273 Abs. 1 SchKG). Art. 17 der Haager Übereinkunft betreffend Zivilprozessrecht (IÜ). Art. 4 BV. Art. 17 IUe bezieht sich nur auf eigentliche Prozesskautionen und ist daher nicht anwendbar auf die Sicherheitsleistung, zu welcher der Arrestgläubiger (ohne Rücksicht auf seinen Wohnsitz und seine Staatsangehörigkeit) gemäss Art. 273 Abs. 1 SchKG verhalten werden kann (Erw. 4). Begriff des Schadens, für den der Arrestgläubiger bei ungerechtfertigtem Arrest haftet. Die Annahme, dass dazu auch die dem Arrestschuldner im Arrestprosequierungsprozess erwachsenden Kosten gehören, ist nicht willkürlich (Erw. 5).</w:t>
      </w:r>
    </w:p>
    <w:p>
      <w:pPr>
        <w:pStyle w:val="Heading2"/>
      </w:pPr>
      <w:r>
        <w:t>Erwägungen</w:t>
      </w:r>
    </w:p>
    <w:p>
      <w:r>
        <w:rPr>
          <w:b/>
        </w:rPr>
        <w:t>E. 1</w:t>
      </w:r>
    </w:p>
    <w:p>
      <w:r>
        <w:t>Am 1. März 1954 ist im Haag eine neue internationale Übereinkunft betreffend Zivilprozessrecht abgeschlossen worden. Diese ist für die Schweiz am 5. Juni 1955 und für die Tschechoslowakei am 11. August 1966 in Kraft getreten (AS 1957 S. 467 und 1966 S. 972) und ist daher im vorliegenden Falle anwendbar (Art. 29 der IÜ vom 1. März 1954). Dass sich der Beschwerdeführer noch auf die IÜ vom 17. Juli 1905 beruft, schadet ihm indes nicht, da der als verletzt bezeichnete Art. 17 in beiden Staatsverträgen den gleichen Wortlaut hat.</w:t>
      </w:r>
    </w:p>
    <w:p>
      <w:r>
        <w:rPr>
          <w:b/>
        </w:rPr>
        <w:t>E. 2</w:t>
      </w:r>
    </w:p>
    <w:p>
      <w:r>
        <w:t>Art. 17 IÜ ist keine zivil- oder strafrechtliche Staatsvertragsbestimmung ( Art. 84 lit. c OG ), sondern prozessrechtlicher Natur. Da die behauptete Verletzung des Art. 17 IÜ auch nicht sonstwie durch Klage oder Rechtsmittel beim Bundesgericht oder einer andern Bundesbehörde geltend gemacht BGE 93 I 278 S. 281 werden kann (vgl. Art. 125 lit. c OG ), ist die staatsrechtliche Beschwerde zulässig ( Art. 84 Abs. 2 OG ).</w:t>
      </w:r>
    </w:p>
    <w:p>
      <w:r>
        <w:rPr>
          <w:b/>
        </w:rPr>
        <w:t>E. 3</w:t>
      </w:r>
    </w:p>
    <w:p>
      <w:r>
        <w:t>Die angefochtene Verfügung des Kreisamtes kann mit keinem kantonalen Rechtsmittel angefochten werden (Art. 10 Ziff. 12 und Art. 12 der bünd. Ausführungsverordnung vom 23. November 1954 zum SchKG), stellt also einen letztinstanzlichen kantonalen Entscheid dar. Dass die Nichtleistung der vom Arrestgläubiger verlangten Sicherheit die Nichtbewilligung bzw. das Dahinfallen des Arrestes zur Folge gehabt hätte, wird im angefochtenen Entscheid nicht ausdrücklich gesagt, ist aber klar, da sonst die Auflage der Sicherheitsleistung keinen Sinn hätte. Die angefochtene Verfügung ist somit ein Zwischenentscheid, der für den Beschwerdeführer einen nicht wiedergutzumachenden Nachteil zur Folge hat (vgl. BGE 77 I 46 Erw. 2), so dass auch auf die Rüge der Verletzung des Art. 4 BV einzutreten ist ( Art. 87 OG ). Für die Beschwerde wegen Missachtung von Art. 17 IÜ gilt Art. 87 OG ohnehin nicht ( BGE 87 I 368 mit Verweisungen) und ist auch die Erschöpfung des kantonalen Instanzenzuges nicht erforderlich ( BGE 86 I 36 Erw. 1 mit Verweisungen). Ob die angefochtene Verfügung gegen diese Bestimmung eines Staatsvertrages verstosse, ist vom Bundesgericht in tatsächlicher und rechtlicher Hinsicht frei zu prüfen ( BGE 89 I 117 Erw. 2 mit Verweisungen, BGE 90 I 117 Erw. 3).</w:t>
      </w:r>
    </w:p>
    <w:p>
      <w:r>
        <w:rPr>
          <w:b/>
        </w:rPr>
        <w:t>E. 4</w:t>
      </w:r>
    </w:p>
    <w:p>
      <w:r>
        <w:t>Das Kreisamt erklärt im angefochtenen Entscheid, Ausführungen über die internationalen Verträge erübrigten sich, da sich die Arrestkaution nur auf die Bestimmung des SchKG stütze. Mit dieser in der Beschwerde als "schlechthin unverständlich" bezeichneten Bemerkung will das Kreisamt offenbar sagen, dass Art. 17 IÜ auf Sicherheitsleistungen gemäss Art. 273 Abs. 1 SchKG nicht anwendbar sei. Dem wird in der Beschwerde lediglich entgegengehalten, auch die Bestimmungen des SchKG unterständen den staatsvertraglichen Beschränkungen. Die in diesem Zusammenhang angerufenen Urteile des Bundesgerichts betreffen jedoch nicht die hier streitige Frage, ob eine Arrestkaution unter Art. 17 IÜ falle, sondern befassen sich mit der Zulässigkeit von Arresten im Hinblick auf den Gerichtsstandsvertrag mit Frankreich vom 15. Juni 1869 ( BGE 49 I 550 und BGE 63 I 240 ) und mit der Zulässigkeit der Pfändung und Arrestierung von rollendem Eisenbahnmaterial im Hinblick auf das Internationale Abkommen über den Eisenbahnfrachtverkehr vom 23. Oktober 1924 (BGE 63 BGE 93 I 278 S. 282 III 98). Aus diesen Entscheiden lässt sich nichts ableiten für die Auslegung des Art. 17 IÜ. Diese Bestimmung steht im Abschnitt über "Sicherheitsleistung für die Prozesskosten", bezieht sich auf "Kläger oder Intervenienten (vor Gericht)" und handelt von der Befreiung von der Sicherheitsleistung, Hinterlegung oder Vorauszahlung von "Gerichtskosten" und "Prozesskosten" (französischer Originaltext: "frais judiciaires" und "caution judicatum solvi"). Art. 18 IÜ spricht von dem "Staate der Klageerhebung". Angesichts dieses klaren Wortlauts lassen sich unter Sicherheitsleistungen im Sinne von Art. 17 IÜ nur solche verstehen, die einer im Zivilprozess als Kläger oder Intervenient auftretenden Partei auferlegt werden, also nur eigentliche Prozesskautionen. Um eine solche handelt es sich bei der von der Arrestbehörde gemäss Art. 273 Abs. 1 SchKG angeordneten Arrestkaution nicht, weshalb sie nicht unter Art. 17 IÜ fällt (so schon das zürch. Obergericht, ZR 27 Nr. 34 S. 61). Das gilt jedenfalls, soweit die Arrestkaution der Sicherstellung von Ansprüchen auf Ersatz des unmittelbaren Schadens dient, der dem Arrestschuldner aus der Verfügungsbeschränkung über den Arrestgegenstand erwächst und für den nach Auffassung des Beschwerdeführers die Sicherheitsleistung allein statthaft ist. Fraglich könnte nur sein, ob die Arrestkaution insoweit unter Art. 17 IÜ fällt, als sie auch zur Deckung der Kosten und Umtriebe angeordnet wird, die dem Arrestschuldner im Arrestaufhebungs- oder Arrestprosequierungsprozess entstehen, wobei der Arrestgläubiger allerdings nur in letzterem als "Kläger" auftritt. Die Frage kann offenbleiben, da Art. 17 IÜ aus einem andern Grunde nicht anwendbar ist. Diese Bestimmung verbietet, Angehörigen eines Vertragsstaates mit Wohnsitz in einem solchen Staate Prozesskautionen aufzuerlegen "wegen ihrer Eigenschaft als Ausländer oder deswegen, weil sie keinen Wohnsitz oder Aufenthalt im Inland haben". Art. 273 Abs. 1 SchKG sieht die Arrestkaution nicht wegen ausländischer Staatsangehörigkeit, Wohnsitzes oder Aufenthaltes des Arrestgläubigers vor, sondern ohne Rücksicht hierauf zur Sicherstellung des Schadens aus einem ungerechtfertigten Arrest, für den der Gläubiger dem Arrestschuldner nach dieser Bestimmung haftet. Trifft aber Art. 273 Abs. 1 SchKG Inländer und Ausländer ohne Rücksicht auf den Wohnsitz und Aufenthalt in gleicher Weise, so verstösst er nicht gegen Art. 17 IÜ, der lediglich verhindern will, dass der Angehörige BGE 93 I 278 S. 283 eines Vertragsstaates deswegen, weil er Ausländer ist oder im Inland weder Wohnsitz noch Aufenthalt hat, schlechter gestellt wird als ein Inländer. Daran ändert auch die Erwägung im angefochtenen Entscheid nichts, der Wohnsitz der Parteien im Ausland habe nur in dem Sinne Bedeutung, dass deswegen die Erledigung "der Hauptfrage" (womit die Frage der Begründetheit der Arrestforderung gemeint ist) voraussichtlich längere Zeit brauchen werde, wodurch ein eventueller Schaden infolge der Verfügungsbeschränkung vergrössert werde. Diese Erwägung bezieht sich lediglich auf die Höhe des Schadens und damit der zu leistenden Sicherheit und hat Gültigkeit ohne Rücksicht darauf, ob es sich um schweizerische oder ausländische Staatsangehörige mit Wohnsitz im Ausland handelt. Falls der Beschwerdeführer mit der Bemerkung, es wäre unzulässig, einem Ausländer, dessen Heimatland der IÜ beigetreten ist, eine höhere Kaution aufzuerlegen als einem Schweizer, geltend machen will, dass einem Schweizer eine kleinere Kaution auferlegt worden wäre und insofern Art. 17 IÜ verletzt sei, so wäre auf diese Rüge nicht einzutreten, da sie der nach Art. 90 Abs. 1 lit. b OG erforderlichen Begründung ermangelt.</w:t>
      </w:r>
    </w:p>
    <w:p>
      <w:r>
        <w:rPr>
          <w:b/>
        </w:rPr>
        <w:t>E. 5</w:t>
      </w:r>
    </w:p>
    <w:p>
      <w:r>
        <w:t>Der Beschwerdeführer rügt als Willkür (Verletzung des Art. 4 BV ), dass das Kreisamt in aktenwidriger Weise davon ausgehe, es sei ein unmittelbarer Arrestschaden geltend gemacht worden, und dass es entgegen Praxis und Literatur annehme, Art. 273 SchKG lasse den Arrestgläubiger auch für bloss mittelbaren Schaden haften. a) Der Arrestschuldner begründete sein Sicherheitsleistungsgesuch vom 21. April 1966 mit dem Schaden, der ihm aus dem ungerechtfertigten Arrest erwachse. Er sprach dabei von Schaden schlechthin, ohne ihn auf die Kosten und Umtriebe des zu erwartenden Arrestprosequierungsprozesses zu beschränken. Da auch der angefochtene Entscheid sich über die Natur des in Frage stehenden Schadens nicht äussert, ist unerfindlich, wieso der Beschwerdeführer behaupten kann, das Kreisamt gehe "in aktenwidriger Weise" davon aus, der Arrestschuldner habe (auch) einen unmittelbaren Schaden geltend und glaubhaft gemacht. Abgesehen davon ist es gar nicht erforderlich, dass der Arrestschuldner Schadenersatzansprüche geltend macht und begründet, da die Sicherheitsleistung, wie jedenfalls ohne Willkür angenommen werden kann, von Amtes wegen anzuordnen BGE 93 I 278 S. 284 ist, wenn die Forderung oder der Arrestgrund zweifelhaft ist (JAEGER N. 5 zu Art. 273 SchKG ). b) Nach der Rechtsprechung des Bundesgerichts haftet der Arrestgläubiger nur für den unmittelbaren Vermögensschaden, der auf die Behinderung in der Verfügung über die Arrestobjekte zurückzuführen ist ( BGE 34 II 283 , BGE 48 II 236 ), und die Rechtslehre hat sich dieser Auffassung angeschlossen (JAEGER und JAEGER-DAENIKER N. 2 zu Art. 273 SchKG , FRITZSCHE, SchK II S. 227/8, FAVRE, SchK [deutsche Ausgabe] S. 332/3). Ferner hat das Bundesgericht in BGE 48 III 236 /7 die Ansicht geäussert, dass die Kosten des Arrestaufhebungs- und des Arrestprosequierungsprozesses nicht zum unmittelbaren Schaden zu rechnen seien. Das zürch. Obergericht hat jedoch in ZR 27 Nr. 34 S. 60 gegenteilig entschieden. Seine Auffassung, die auch von JUD (Die Entwicklung der Rechtsprechung zum Arrestrecht des SchKG, Zürch. Diss. 1940 S. 73/4) geteilt wird, stützt sich auf beachtliche Gründe und kann zum mindesten nicht als offensichtlich unrichtig, geradezu unhaltbar bezeichnet werden, zumal da Art. 273 Abs. 1 SchKG vom Schaden schlechthin spricht und nicht zwischen unmittelbarem und mittelbarem Schaden unterscheidet. Soweit die im vorliegenden Falle angefochtene Arrestkaution zur Deckung der dem Arrestschuldner im Arrestprosequierungsprozess erwachsenden Kosten bestimmt ist, hält sie daher vor Art. 4 BV stand, obwohl sie auf einer Auslegung von Art. 273 Abs. 1 SchKG beruht, die von der in einem BGE vertretenen abweicht (vgl. BGE 86 I 269 mit Verweisungen). Davon abgesehen ist sie auch deshalb nicht willkürlich, weil sich sehr wohl die Auffassung vertreten lässt, die Verfügungsbeschränkung über ein Wohnhaus samt Mobiliar und weiteren darin befindlichen Vermögenswerten könne einen die Auferlegung einer Arrestkaution rechtfertigenden unmittelbaren Schaden verursachen, wenn die Rechtsverhältnisse zwischen Arrestgläubiger und Arrestschuldner wie hier nicht klar sind und daher über die Begründetheit der Arrestforderung, wie der Beschwerdeführer selber ausführt, in einem ordentlichen Prozessverfahren zu entscheiden ist, das längere Zeit dauern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